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4A" w:rsidRDefault="00A66D4A" w:rsidP="00A66D4A">
      <w:pPr>
        <w:widowControl/>
        <w:shd w:val="clear" w:color="auto" w:fill="FFFFFF"/>
        <w:spacing w:before="180" w:after="180"/>
        <w:jc w:val="left"/>
        <w:rPr>
          <w:rStyle w:val="a3"/>
          <w:rFonts w:ascii="Helvetica" w:hAnsi="Helvetica" w:cs="Helvetica"/>
          <w:color w:val="2D3B45"/>
          <w:shd w:val="clear" w:color="auto" w:fill="FFFFFF"/>
        </w:rPr>
      </w:pPr>
      <w:r>
        <w:rPr>
          <w:rStyle w:val="a3"/>
          <w:rFonts w:ascii="Helvetica" w:hAnsi="Helvetica" w:cs="Helvetica"/>
          <w:color w:val="2D3B45"/>
          <w:shd w:val="clear" w:color="auto" w:fill="FFFFFF"/>
        </w:rPr>
        <w:t>EMBA GNW | Tokyo Program 2021</w:t>
      </w:r>
      <w:r>
        <w:rPr>
          <w:rFonts w:ascii="Helvetica" w:hAnsi="Helvetica" w:cs="Helvetica"/>
          <w:color w:val="2D3B45"/>
        </w:rPr>
        <w:br/>
      </w:r>
      <w:r>
        <w:rPr>
          <w:rStyle w:val="a3"/>
          <w:rFonts w:ascii="Helvetica" w:hAnsi="Helvetica" w:cs="Helvetica"/>
          <w:color w:val="2D3B45"/>
          <w:shd w:val="clear" w:color="auto" w:fill="FFFFFF"/>
        </w:rPr>
        <w:t>INNOVATION X GLOBALIZATION | Super Aging Society Japan</w:t>
      </w:r>
    </w:p>
    <w:p w:rsidR="00A66D4A" w:rsidRPr="00A66D4A" w:rsidRDefault="00C02C16" w:rsidP="00A66D4A">
      <w:pPr>
        <w:widowControl/>
        <w:shd w:val="clear" w:color="auto" w:fill="FFFFFF"/>
        <w:spacing w:before="180" w:after="180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The world rapidly shift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s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towards an unprecedented aging society.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Clearly, 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Japan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leads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this trend with </w:t>
      </w:r>
      <w:r w:rsidR="00AB53E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the </w:t>
      </w:r>
      <w:r w:rsidR="001458A1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65 years old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seniors and older 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making up a quarter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of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the current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populati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on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. The proportion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will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reach 40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percent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by 2050. Welcome to Super Aging Society Japan!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</w:t>
      </w:r>
    </w:p>
    <w:p w:rsidR="00A66D4A" w:rsidRPr="00A66D4A" w:rsidRDefault="00FD0DAD" w:rsidP="00A66D4A">
      <w:pPr>
        <w:widowControl/>
        <w:shd w:val="clear" w:color="auto" w:fill="FFFFFF"/>
        <w:spacing w:before="180" w:after="180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The </w:t>
      </w:r>
      <w:r w:rsidR="00164933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Hitotsubashi ICS’ 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EMBA GNW Tok</w:t>
      </w:r>
      <w:r w:rsidR="00164933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yo Program</w:t>
      </w:r>
      <w:r w:rsidR="00164933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between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June 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14 and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18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,</w:t>
      </w:r>
      <w:r w:rsid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2021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help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s</w:t>
      </w:r>
      <w:r w:rsidR="00C02C16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GNAM EMBA </w:t>
      </w:r>
      <w:r w:rsidR="00C02C16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students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understand the unique challenges and opportu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nities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o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f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the 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aging societies. </w:t>
      </w:r>
      <w:r w:rsidR="00C02C16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The students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will meet 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the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government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officers 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and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the 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academics </w:t>
      </w:r>
      <w:proofErr w:type="gramStart"/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who</w:t>
      </w:r>
      <w:proofErr w:type="gramEnd"/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an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alyz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e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the 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problem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and 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search the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solutions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as well as the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 business p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ractitioners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who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capture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the 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opportunities to build lucrativ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e business out of this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problem. Furthermore, the students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will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lear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n and experience 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t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he Japanese culture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underlying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the Japanese business practices. </w:t>
      </w:r>
    </w:p>
    <w:p w:rsidR="00FD0DAD" w:rsidRDefault="00C02C16" w:rsidP="00A66D4A">
      <w:pPr>
        <w:widowControl/>
        <w:shd w:val="clear" w:color="auto" w:fill="FFFFFF"/>
        <w:spacing w:before="180" w:after="180"/>
        <w:jc w:val="left"/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Speaker presentations (</w:t>
      </w:r>
      <w:r w:rsidR="00FD0DA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pre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recorded </w:t>
      </w:r>
      <w:r w:rsidR="00FD0DA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video</w:t>
      </w:r>
      <w:r w:rsidR="00164933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s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= Asynchronous) and Q&amp;A </w:t>
      </w:r>
      <w:r w:rsidR="00FD0DA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sessions with the speakers (</w:t>
      </w:r>
      <w:r w:rsidR="00FD0DA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online meetings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= Synch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ronous) will introduce the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social 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problem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s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,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the government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’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s approach</w:t>
      </w:r>
      <w:r w:rsidR="00A66D4A"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, and the opportunities that </w:t>
      </w:r>
      <w:r w:rsidR="00164933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the </w:t>
      </w:r>
      <w:r w:rsidR="00FD0DA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business practitioners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 w:rsidR="00FD0DA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capture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. </w:t>
      </w:r>
      <w:r w:rsidR="00FD0DA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Furthermore, the students work in grou</w:t>
      </w:r>
      <w:r w:rsidR="00AB53E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ps to develop new solutions to the aging society in their respective countries and regions and present the solutions to the faculty and the guests. </w:t>
      </w:r>
    </w:p>
    <w:p w:rsidR="00A47BBD" w:rsidRDefault="00164933" w:rsidP="00A66D4A">
      <w:pPr>
        <w:widowControl/>
        <w:shd w:val="clear" w:color="auto" w:fill="FFFFFF"/>
        <w:spacing w:before="180" w:after="180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The students must watch each</w:t>
      </w:r>
      <w:r w:rsidR="00AB53E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asynchronous speaker presentation at the students</w:t>
      </w:r>
      <w:r w:rsidR="00AB53E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’</w:t>
      </w:r>
      <w:r w:rsidR="00AB53E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convenience but before the corresponding synchronous online meeting. Under the current </w:t>
      </w:r>
      <w:r w:rsidR="00AB53E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schedule</w:t>
      </w:r>
      <w:r w:rsidR="00AB53E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, t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he synchronous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online meetings</w:t>
      </w:r>
      <w:r w:rsidR="00AB53E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</w:t>
      </w:r>
      <w:r w:rsidR="00AB53E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and group presentations take place between</w:t>
      </w:r>
      <w:r w:rsidR="00AB53E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13:00 </w:t>
      </w:r>
      <w:r w:rsidR="00AB53E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and 17:30 </w:t>
      </w:r>
      <w:r w:rsidR="00AB53E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JST. </w:t>
      </w:r>
      <w:r w:rsidR="00A47BB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Students </w:t>
      </w:r>
      <w:r w:rsidR="0017427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must</w:t>
      </w:r>
      <w:r w:rsidR="00A47BB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fully commit their time duri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ng the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synchronous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online meetings</w:t>
      </w:r>
      <w:r w:rsidR="00AB53E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and group presentations</w:t>
      </w:r>
      <w:r w:rsidR="0017427D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. </w:t>
      </w:r>
      <w:r w:rsidR="00C02C16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The students must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NOT perform their regular jobs </w:t>
      </w:r>
      <w:r w:rsidR="00C02C16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during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the synchronous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online meetings</w:t>
      </w:r>
      <w:r w:rsidR="00AB53ED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and group presentations</w:t>
      </w:r>
      <w:r w:rsidR="00C02C16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; if a student does so</w:t>
      </w:r>
      <w:r w:rsidR="00C02C16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, </w:t>
      </w:r>
      <w:r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the Program may give the student </w:t>
      </w:r>
      <w:r w:rsidR="00C02C16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a </w:t>
      </w:r>
      <w:r w:rsidR="00C02C16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>fail</w:t>
      </w:r>
      <w:r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ing grade</w:t>
      </w:r>
      <w:r w:rsidR="00C02C16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. </w:t>
      </w:r>
    </w:p>
    <w:p w:rsidR="00A66D4A" w:rsidRPr="00A66D4A" w:rsidRDefault="00A66D4A" w:rsidP="00A66D4A">
      <w:pPr>
        <w:widowControl/>
        <w:shd w:val="clear" w:color="auto" w:fill="FFFFFF"/>
        <w:spacing w:before="180" w:after="180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bookmarkStart w:id="0" w:name="_GoBack"/>
      <w:bookmarkEnd w:id="0"/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Come join us in Tokyo, Ja</w:t>
      </w:r>
      <w:r w:rsidR="00234B3B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pan, where you will learn </w:t>
      </w:r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how to deal with the problems arising out of aging and declining population, and how to capture business opportunities in the Super Aging Society.</w:t>
      </w:r>
      <w:r w:rsidR="00234B3B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</w:t>
      </w:r>
    </w:p>
    <w:p w:rsidR="00A66D4A" w:rsidRPr="00A66D4A" w:rsidRDefault="00A66D4A" w:rsidP="00A66D4A">
      <w:pPr>
        <w:widowControl/>
        <w:shd w:val="clear" w:color="auto" w:fill="FFFFFF"/>
        <w:spacing w:before="180" w:after="180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 </w:t>
      </w:r>
    </w:p>
    <w:p w:rsidR="00A66D4A" w:rsidRPr="00A66D4A" w:rsidRDefault="00A66D4A" w:rsidP="00A66D4A">
      <w:pPr>
        <w:widowControl/>
        <w:shd w:val="clear" w:color="auto" w:fill="FFFFFF"/>
        <w:spacing w:before="180" w:after="180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r w:rsidRPr="00A66D4A">
        <w:rPr>
          <w:rFonts w:ascii="Helvetica" w:eastAsia="ＭＳ Ｐゴシック" w:hAnsi="Helvetica" w:cs="Helvetica"/>
          <w:b/>
          <w:bCs/>
          <w:color w:val="2D3B45"/>
          <w:kern w:val="0"/>
          <w:sz w:val="24"/>
          <w:szCs w:val="24"/>
        </w:rPr>
        <w:t>OBJECTIVES</w:t>
      </w:r>
    </w:p>
    <w:p w:rsidR="00A66D4A" w:rsidRPr="00A66D4A" w:rsidRDefault="00A66D4A" w:rsidP="00A66D4A">
      <w:pPr>
        <w:widowControl/>
        <w:shd w:val="clear" w:color="auto" w:fill="FFFFFF"/>
        <w:spacing w:before="180" w:after="180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lastRenderedPageBreak/>
        <w:t>The program aims to help GNAM EMBA candidates learn:</w:t>
      </w:r>
    </w:p>
    <w:p w:rsidR="00A66D4A" w:rsidRPr="00A66D4A" w:rsidRDefault="00A66D4A" w:rsidP="00A66D4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r w:rsidRPr="00A66D4A">
        <w:rPr>
          <w:rFonts w:ascii="Helvetica" w:eastAsia="ＭＳ Ｐゴシック" w:hAnsi="Helvetica" w:cs="Helvetica"/>
          <w:b/>
          <w:bCs/>
          <w:color w:val="2D3B45"/>
          <w:kern w:val="0"/>
          <w:sz w:val="24"/>
          <w:szCs w:val="24"/>
        </w:rPr>
        <w:t>Japan as Super Aging Society</w:t>
      </w:r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 | What challenges and opportunities does aging bring to Japanese companies and multi-national corporations operating in Japan?</w:t>
      </w:r>
    </w:p>
    <w:p w:rsidR="00A66D4A" w:rsidRPr="00A66D4A" w:rsidRDefault="00A66D4A" w:rsidP="00A66D4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r w:rsidRPr="00A66D4A">
        <w:rPr>
          <w:rFonts w:ascii="Helvetica" w:eastAsia="ＭＳ Ｐゴシック" w:hAnsi="Helvetica" w:cs="Helvetica"/>
          <w:b/>
          <w:bCs/>
          <w:color w:val="2D3B45"/>
          <w:kern w:val="0"/>
          <w:sz w:val="24"/>
          <w:szCs w:val="24"/>
        </w:rPr>
        <w:t>Potential of Digital Technology in the Aging Society</w:t>
      </w:r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| How will the emerging technologies – AI, VR, </w:t>
      </w:r>
      <w:proofErr w:type="spellStart"/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IoT</w:t>
      </w:r>
      <w:proofErr w:type="spellEnd"/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, Robotics, and so forth – help solve the issues arising, and make it possible for business to capture opportunities out of aging?</w:t>
      </w:r>
    </w:p>
    <w:p w:rsidR="0058766E" w:rsidRPr="00234B3B" w:rsidRDefault="00A66D4A" w:rsidP="00234B3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left"/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</w:pPr>
      <w:r w:rsidRPr="00A66D4A">
        <w:rPr>
          <w:rFonts w:ascii="Helvetica" w:eastAsia="ＭＳ Ｐゴシック" w:hAnsi="Helvetica" w:cs="Helvetica"/>
          <w:b/>
          <w:bCs/>
          <w:color w:val="2D3B45"/>
          <w:kern w:val="0"/>
          <w:sz w:val="24"/>
          <w:szCs w:val="24"/>
        </w:rPr>
        <w:t>Global Implications </w:t>
      </w:r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| </w:t>
      </w:r>
      <w:proofErr w:type="gramStart"/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>What</w:t>
      </w:r>
      <w:proofErr w:type="gramEnd"/>
      <w:r w:rsidRPr="00A66D4A">
        <w:rPr>
          <w:rFonts w:ascii="Helvetica" w:eastAsia="ＭＳ Ｐゴシック" w:hAnsi="Helvetica" w:cs="Helvetica"/>
          <w:color w:val="2D3B45"/>
          <w:kern w:val="0"/>
          <w:sz w:val="24"/>
          <w:szCs w:val="24"/>
        </w:rPr>
        <w:t xml:space="preserve"> kind of new learning and insights can we gain from the Japanese experience, and extrapolate them to the rest of the world?</w:t>
      </w:r>
      <w:r w:rsidR="00234B3B">
        <w:rPr>
          <w:rFonts w:ascii="Helvetica" w:eastAsia="ＭＳ Ｐゴシック" w:hAnsi="Helvetica" w:cs="Helvetica" w:hint="eastAsia"/>
          <w:color w:val="2D3B45"/>
          <w:kern w:val="0"/>
          <w:sz w:val="24"/>
          <w:szCs w:val="24"/>
        </w:rPr>
        <w:t xml:space="preserve"> </w:t>
      </w:r>
    </w:p>
    <w:sectPr w:rsidR="0058766E" w:rsidRPr="00234B3B" w:rsidSect="00952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7D" w:rsidRDefault="0017427D"/>
  </w:endnote>
  <w:endnote w:type="continuationSeparator" w:id="0">
    <w:p w:rsidR="0017427D" w:rsidRDefault="001742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7D" w:rsidRDefault="0017427D"/>
  </w:footnote>
  <w:footnote w:type="continuationSeparator" w:id="0">
    <w:p w:rsidR="0017427D" w:rsidRDefault="001742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87E"/>
    <w:multiLevelType w:val="multilevel"/>
    <w:tmpl w:val="E6D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D4A"/>
    <w:rsid w:val="001458A1"/>
    <w:rsid w:val="00164933"/>
    <w:rsid w:val="0017427D"/>
    <w:rsid w:val="00234B3B"/>
    <w:rsid w:val="0058766E"/>
    <w:rsid w:val="00952E5B"/>
    <w:rsid w:val="00A47BBD"/>
    <w:rsid w:val="00A66D4A"/>
    <w:rsid w:val="00AB53ED"/>
    <w:rsid w:val="00C02C16"/>
    <w:rsid w:val="00FD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D4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74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7427D"/>
  </w:style>
  <w:style w:type="paragraph" w:styleId="a6">
    <w:name w:val="footer"/>
    <w:basedOn w:val="a"/>
    <w:link w:val="a7"/>
    <w:uiPriority w:val="99"/>
    <w:semiHidden/>
    <w:unhideWhenUsed/>
    <w:rsid w:val="00174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4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友則</dc:creator>
  <cp:lastModifiedBy>Kentaro Koga</cp:lastModifiedBy>
  <cp:revision>2</cp:revision>
  <dcterms:created xsi:type="dcterms:W3CDTF">2021-03-11T04:30:00Z</dcterms:created>
  <dcterms:modified xsi:type="dcterms:W3CDTF">2021-03-11T04:30:00Z</dcterms:modified>
</cp:coreProperties>
</file>